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D83825">
      <w:pPr>
        <w:rPr>
          <w:rFonts w:hint="eastAsia"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附件2：</w:t>
      </w:r>
    </w:p>
    <w:p w14:paraId="38EEAC0C">
      <w:pPr>
        <w:spacing w:line="600" w:lineRule="exact"/>
        <w:jc w:val="center"/>
        <w:rPr>
          <w:rFonts w:hint="eastAsia" w:ascii="微软雅黑" w:hAnsi="仿宋" w:eastAsia="微软雅黑" w:cs="Times New Roman"/>
          <w:sz w:val="44"/>
          <w:szCs w:val="44"/>
        </w:rPr>
      </w:pPr>
    </w:p>
    <w:p w14:paraId="374B2293">
      <w:pPr>
        <w:spacing w:line="600" w:lineRule="exact"/>
        <w:jc w:val="center"/>
        <w:rPr>
          <w:rFonts w:hint="eastAsia" w:ascii="微软雅黑" w:hAnsi="仿宋" w:eastAsia="微软雅黑" w:cs="Times New Roman"/>
          <w:sz w:val="44"/>
          <w:szCs w:val="44"/>
        </w:rPr>
      </w:pPr>
      <w:r>
        <w:rPr>
          <w:rFonts w:hint="eastAsia" w:ascii="微软雅黑" w:hAnsi="仿宋" w:eastAsia="微软雅黑" w:cs="Times New Roman"/>
          <w:sz w:val="44"/>
          <w:szCs w:val="44"/>
        </w:rPr>
        <w:t>案例正文写作要求</w:t>
      </w:r>
    </w:p>
    <w:p w14:paraId="587A2F8D">
      <w:pPr>
        <w:spacing w:line="600" w:lineRule="exact"/>
        <w:jc w:val="center"/>
        <w:rPr>
          <w:rFonts w:hint="eastAsia" w:ascii="微软雅黑" w:hAnsi="仿宋" w:eastAsia="微软雅黑" w:cs="Times New Roman"/>
          <w:sz w:val="44"/>
          <w:szCs w:val="44"/>
        </w:rPr>
      </w:pPr>
    </w:p>
    <w:p w14:paraId="627F1F5E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kern w:val="0"/>
          <w:sz w:val="24"/>
          <w:szCs w:val="24"/>
        </w:rPr>
      </w:pPr>
      <w:r>
        <w:rPr>
          <w:rFonts w:ascii="Times New Roman" w:hAnsi="Times New Roman" w:eastAsia="仿宋_GB2312" w:cs="Times New Roman"/>
          <w:bCs/>
          <w:kern w:val="0"/>
          <w:sz w:val="32"/>
        </w:rPr>
        <w:t>一、确定案例提供单位及案例作者，案例作者不超过5人。黑体，三号字，居中。示例</w:t>
      </w:r>
      <w:r>
        <w:rPr>
          <w:rFonts w:ascii="Times New Roman" w:hAnsi="Times New Roman" w:eastAsia="仿宋_GB2312" w:cs="Times New Roman"/>
          <w:kern w:val="0"/>
          <w:sz w:val="24"/>
          <w:szCs w:val="24"/>
        </w:rPr>
        <w:t>：</w:t>
      </w:r>
    </w:p>
    <w:p w14:paraId="41E34F9C">
      <w:pPr>
        <w:spacing w:line="600" w:lineRule="exact"/>
        <w:jc w:val="center"/>
        <w:rPr>
          <w:rFonts w:hint="eastAsia" w:ascii="黑体" w:hAnsi="黑体" w:eastAsia="黑体" w:cs="Times New Roman"/>
          <w:kern w:val="0"/>
          <w:sz w:val="32"/>
          <w:szCs w:val="32"/>
        </w:rPr>
      </w:pPr>
      <w:r>
        <w:rPr>
          <w:rFonts w:hint="eastAsia" w:ascii="黑体" w:hAnsi="黑体" w:eastAsia="黑体" w:cs="Times New Roman"/>
          <w:kern w:val="0"/>
          <w:sz w:val="32"/>
          <w:szCs w:val="32"/>
        </w:rPr>
        <w:t>对北京市某住宅项目工程造价司法鉴定或纠纷调解</w:t>
      </w:r>
    </w:p>
    <w:p w14:paraId="4871F42E">
      <w:pPr>
        <w:spacing w:line="600" w:lineRule="exact"/>
        <w:jc w:val="center"/>
        <w:rPr>
          <w:rFonts w:hint="eastAsia" w:ascii="黑体" w:hAnsi="黑体" w:eastAsia="黑体" w:cs="Times New Roman"/>
          <w:kern w:val="0"/>
          <w:sz w:val="32"/>
          <w:szCs w:val="32"/>
        </w:rPr>
      </w:pPr>
      <w:r>
        <w:rPr>
          <w:rFonts w:hint="eastAsia" w:ascii="黑体" w:hAnsi="黑体" w:eastAsia="黑体" w:cs="Times New Roman"/>
          <w:kern w:val="0"/>
          <w:sz w:val="32"/>
          <w:szCs w:val="32"/>
        </w:rPr>
        <w:t>——（公司名称）</w:t>
      </w:r>
    </w:p>
    <w:p w14:paraId="56B160C0">
      <w:pPr>
        <w:spacing w:line="600" w:lineRule="exact"/>
        <w:jc w:val="center"/>
        <w:rPr>
          <w:rFonts w:hint="eastAsia" w:ascii="仿宋" w:hAnsi="仿宋" w:eastAsia="仿宋" w:cs="宋体"/>
          <w:bCs/>
          <w:kern w:val="0"/>
          <w:sz w:val="32"/>
        </w:rPr>
      </w:pPr>
      <w:r>
        <w:rPr>
          <w:rFonts w:hint="eastAsia" w:ascii="黑体" w:hAnsi="黑体" w:eastAsia="黑体" w:cs="Times New Roman"/>
          <w:kern w:val="0"/>
          <w:sz w:val="32"/>
          <w:szCs w:val="32"/>
        </w:rPr>
        <w:t>XXX   XXX   XXX  XXX（案例作者）</w:t>
      </w:r>
    </w:p>
    <w:p w14:paraId="6DD98FFF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bCs/>
          <w:kern w:val="0"/>
          <w:sz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</w:rPr>
        <w:t>二、“一、案情简介”只需简单叙述当事人合同履行情况及起讼背景。</w:t>
      </w:r>
    </w:p>
    <w:p w14:paraId="4E761934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bCs/>
          <w:kern w:val="0"/>
          <w:sz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</w:rPr>
        <w:t>三、层次与体例</w:t>
      </w:r>
    </w:p>
    <w:p w14:paraId="23B1CB91">
      <w:pPr>
        <w:spacing w:line="560" w:lineRule="exact"/>
        <w:ind w:left="420" w:leftChars="200" w:firstLine="1120" w:firstLineChars="350"/>
        <w:rPr>
          <w:rFonts w:ascii="Times New Roman" w:hAnsi="Times New Roman" w:eastAsia="仿宋_GB2312" w:cs="Times New Roman"/>
          <w:bCs/>
          <w:color w:val="000000"/>
          <w:kern w:val="0"/>
          <w:sz w:val="32"/>
        </w:rPr>
      </w:pPr>
      <w:r>
        <w:rPr>
          <w:rFonts w:ascii="Times New Roman" w:hAnsi="Times New Roman" w:eastAsia="仿宋_GB2312" w:cs="Times New Roman"/>
          <w:bCs/>
          <w:color w:val="000000"/>
          <w:kern w:val="0"/>
          <w:sz w:val="32"/>
        </w:rPr>
        <w:t>一、……（单占1行，居中）</w:t>
      </w:r>
    </w:p>
    <w:p w14:paraId="76DB2DD3">
      <w:pPr>
        <w:spacing w:line="560" w:lineRule="exact"/>
        <w:ind w:left="420" w:leftChars="200" w:firstLine="1440" w:firstLineChars="450"/>
        <w:rPr>
          <w:rFonts w:ascii="Times New Roman" w:hAnsi="Times New Roman" w:eastAsia="仿宋_GB2312" w:cs="Times New Roman"/>
          <w:bCs/>
          <w:color w:val="000000"/>
          <w:kern w:val="0"/>
          <w:sz w:val="32"/>
        </w:rPr>
      </w:pPr>
      <w:r>
        <w:rPr>
          <w:rFonts w:ascii="Times New Roman" w:hAnsi="Times New Roman" w:eastAsia="仿宋_GB2312" w:cs="Times New Roman"/>
          <w:bCs/>
          <w:color w:val="000000"/>
          <w:kern w:val="0"/>
          <w:sz w:val="32"/>
        </w:rPr>
        <w:t>1. ……（占1行）</w:t>
      </w:r>
    </w:p>
    <w:p w14:paraId="5179E1AD">
      <w:pPr>
        <w:spacing w:line="560" w:lineRule="exact"/>
        <w:ind w:left="1080"/>
        <w:rPr>
          <w:rFonts w:ascii="Times New Roman" w:hAnsi="Times New Roman" w:eastAsia="仿宋_GB2312" w:cs="Times New Roman"/>
          <w:bCs/>
          <w:color w:val="000000"/>
          <w:kern w:val="0"/>
          <w:sz w:val="32"/>
        </w:rPr>
      </w:pPr>
      <w:r>
        <w:rPr>
          <w:rFonts w:ascii="Times New Roman" w:hAnsi="Times New Roman" w:eastAsia="仿宋_GB2312" w:cs="Times New Roman"/>
          <w:bCs/>
          <w:color w:val="000000"/>
          <w:kern w:val="0"/>
          <w:sz w:val="32"/>
        </w:rPr>
        <w:t>（1）……（可占1行，也可后面接排正文）</w:t>
      </w:r>
    </w:p>
    <w:p w14:paraId="4BD38496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bCs/>
          <w:kern w:val="0"/>
          <w:sz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</w:rPr>
        <w:t>四、正文小四号字，宋体，行间距为1.5倍行距，总页数控制在20页之内。Word统计字数控制在1.0-1.5万字之内。</w:t>
      </w:r>
    </w:p>
    <w:p w14:paraId="0C924710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bCs/>
          <w:kern w:val="0"/>
          <w:sz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</w:rPr>
        <w:t>五、插图、公式及表</w:t>
      </w:r>
    </w:p>
    <w:p w14:paraId="62BCD8BF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bCs/>
          <w:kern w:val="0"/>
          <w:sz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</w:rPr>
        <w:t>1.</w:t>
      </w:r>
      <w:r>
        <w:rPr>
          <w:rFonts w:hint="eastAsia" w:ascii="Times New Roman" w:hAnsi="Times New Roman" w:eastAsia="仿宋_GB2312" w:cs="Times New Roman"/>
          <w:bCs/>
          <w:kern w:val="0"/>
          <w:sz w:val="32"/>
        </w:rPr>
        <w:t xml:space="preserve"> </w:t>
      </w:r>
      <w:r>
        <w:rPr>
          <w:rFonts w:ascii="Times New Roman" w:hAnsi="Times New Roman" w:eastAsia="仿宋_GB2312" w:cs="Times New Roman"/>
          <w:bCs/>
          <w:kern w:val="0"/>
          <w:sz w:val="32"/>
        </w:rPr>
        <w:t>案例中所有图、表进行命名和编号，且在正文中进行呼应。原则：先文后图、先文后表。表格上标，图下标。</w:t>
      </w:r>
    </w:p>
    <w:p w14:paraId="01D4107A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bCs/>
          <w:kern w:val="0"/>
          <w:sz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</w:rPr>
        <w:t>如：******见图1。</w:t>
      </w:r>
    </w:p>
    <w:p w14:paraId="3F88B9D0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bCs/>
          <w:kern w:val="0"/>
          <w:sz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</w:rPr>
        <w:t>2.</w:t>
      </w:r>
      <w:r>
        <w:rPr>
          <w:rFonts w:hint="eastAsia" w:ascii="Times New Roman" w:hAnsi="Times New Roman" w:eastAsia="仿宋_GB2312" w:cs="Times New Roman"/>
          <w:bCs/>
          <w:kern w:val="0"/>
          <w:sz w:val="32"/>
        </w:rPr>
        <w:t xml:space="preserve"> </w:t>
      </w:r>
      <w:r>
        <w:rPr>
          <w:rFonts w:ascii="Times New Roman" w:hAnsi="Times New Roman" w:eastAsia="仿宋_GB2312" w:cs="Times New Roman"/>
          <w:bCs/>
          <w:kern w:val="0"/>
          <w:sz w:val="32"/>
        </w:rPr>
        <w:t>每个案例中的图与表格单独排序，从1开始，排序规则：</w:t>
      </w:r>
    </w:p>
    <w:p w14:paraId="7B4D41D2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bCs/>
          <w:kern w:val="0"/>
          <w:sz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</w:rPr>
        <w:t>图1、图2；式（1）、式（2）；表1、表2 ……</w:t>
      </w:r>
    </w:p>
    <w:p w14:paraId="5DE2FD4A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bCs/>
          <w:kern w:val="0"/>
          <w:sz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</w:rPr>
        <w:t>3.</w:t>
      </w:r>
      <w:r>
        <w:rPr>
          <w:rFonts w:hint="eastAsia" w:ascii="Times New Roman" w:hAnsi="Times New Roman" w:eastAsia="仿宋_GB2312" w:cs="Times New Roman"/>
          <w:bCs/>
          <w:kern w:val="0"/>
          <w:sz w:val="32"/>
        </w:rPr>
        <w:t xml:space="preserve"> </w:t>
      </w:r>
      <w:r>
        <w:rPr>
          <w:rFonts w:ascii="Times New Roman" w:hAnsi="Times New Roman" w:eastAsia="仿宋_GB2312" w:cs="Times New Roman"/>
          <w:bCs/>
          <w:kern w:val="0"/>
          <w:sz w:val="32"/>
        </w:rPr>
        <w:t>图片分辨率</w:t>
      </w:r>
      <w:r>
        <w:rPr>
          <w:rFonts w:hint="eastAsia" w:ascii="Times New Roman" w:hAnsi="Times New Roman" w:eastAsia="仿宋_GB2312" w:cs="Times New Roman"/>
          <w:bCs/>
          <w:kern w:val="0"/>
          <w:sz w:val="32"/>
        </w:rPr>
        <w:t>需</w:t>
      </w:r>
      <w:r>
        <w:rPr>
          <w:rFonts w:ascii="Times New Roman" w:hAnsi="Times New Roman" w:eastAsia="仿宋_GB2312" w:cs="Times New Roman"/>
          <w:bCs/>
          <w:kern w:val="0"/>
          <w:sz w:val="32"/>
        </w:rPr>
        <w:t>300dpi以上</w:t>
      </w:r>
      <w:r>
        <w:rPr>
          <w:rFonts w:hint="eastAsia" w:ascii="Times New Roman" w:hAnsi="Times New Roman" w:eastAsia="仿宋_GB2312" w:cs="Times New Roman"/>
          <w:bCs/>
          <w:kern w:val="0"/>
          <w:sz w:val="32"/>
        </w:rPr>
        <w:t>，确保</w:t>
      </w:r>
      <w:r>
        <w:rPr>
          <w:rFonts w:ascii="Times New Roman" w:hAnsi="Times New Roman" w:eastAsia="仿宋_GB2312" w:cs="Times New Roman"/>
          <w:bCs/>
          <w:kern w:val="0"/>
          <w:sz w:val="32"/>
        </w:rPr>
        <w:t>清晰。</w:t>
      </w:r>
    </w:p>
    <w:p w14:paraId="681BDE37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bCs/>
          <w:kern w:val="0"/>
          <w:sz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</w:rPr>
        <w:t>4.</w:t>
      </w:r>
      <w:r>
        <w:rPr>
          <w:rFonts w:hint="eastAsia" w:ascii="Times New Roman" w:hAnsi="Times New Roman" w:eastAsia="仿宋_GB2312" w:cs="Times New Roman"/>
          <w:bCs/>
          <w:kern w:val="0"/>
          <w:sz w:val="32"/>
        </w:rPr>
        <w:t xml:space="preserve"> 全文采用</w:t>
      </w:r>
      <w:r>
        <w:rPr>
          <w:rFonts w:ascii="Times New Roman" w:hAnsi="Times New Roman" w:eastAsia="仿宋_GB2312" w:cs="Times New Roman"/>
          <w:bCs/>
          <w:kern w:val="0"/>
          <w:sz w:val="32"/>
        </w:rPr>
        <w:t>法定计量单位且统一。</w:t>
      </w:r>
    </w:p>
    <w:p w14:paraId="1028D81F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bCs/>
          <w:kern w:val="0"/>
          <w:sz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</w:rPr>
        <w:t>六、务必对案例全文进行脱敏处理，隐去</w:t>
      </w:r>
      <w:r>
        <w:rPr>
          <w:rFonts w:hint="eastAsia" w:ascii="Times New Roman" w:hAnsi="Times New Roman" w:eastAsia="仿宋_GB2312" w:cs="Times New Roman"/>
          <w:bCs/>
          <w:kern w:val="0"/>
          <w:sz w:val="32"/>
        </w:rPr>
        <w:t>具体</w:t>
      </w:r>
      <w:r>
        <w:rPr>
          <w:rFonts w:ascii="Times New Roman" w:hAnsi="Times New Roman" w:eastAsia="仿宋_GB2312" w:cs="Times New Roman"/>
          <w:bCs/>
          <w:kern w:val="0"/>
          <w:sz w:val="32"/>
        </w:rPr>
        <w:t>项目信息，并统一以“某地、某项目、某单位”</w:t>
      </w:r>
      <w:r>
        <w:rPr>
          <w:rFonts w:hint="eastAsia" w:ascii="Times New Roman" w:hAnsi="Times New Roman" w:eastAsia="仿宋_GB2312" w:cs="Times New Roman"/>
          <w:bCs/>
          <w:kern w:val="0"/>
          <w:sz w:val="32"/>
        </w:rPr>
        <w:t>表述</w:t>
      </w:r>
      <w:r>
        <w:rPr>
          <w:rFonts w:ascii="Times New Roman" w:hAnsi="Times New Roman" w:eastAsia="仿宋_GB2312" w:cs="Times New Roman"/>
          <w:bCs/>
          <w:kern w:val="0"/>
          <w:sz w:val="32"/>
        </w:rPr>
        <w:t>，而非“XXX项目”。</w:t>
      </w:r>
    </w:p>
    <w:p w14:paraId="09F7E592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kern w:val="0"/>
          <w:sz w:val="32"/>
        </w:rPr>
        <w:t>七、案例</w:t>
      </w:r>
      <w:r>
        <w:rPr>
          <w:rFonts w:hint="eastAsia" w:ascii="Times New Roman" w:hAnsi="Times New Roman" w:eastAsia="仿宋_GB2312" w:cs="Times New Roman"/>
          <w:bCs/>
          <w:kern w:val="0"/>
          <w:sz w:val="32"/>
        </w:rPr>
        <w:t>须</w:t>
      </w:r>
      <w:r>
        <w:rPr>
          <w:rFonts w:ascii="Times New Roman" w:hAnsi="Times New Roman" w:eastAsia="仿宋_GB2312" w:cs="Times New Roman"/>
          <w:bCs/>
          <w:kern w:val="0"/>
          <w:sz w:val="32"/>
        </w:rPr>
        <w:t>进行重复性检测，查重</w:t>
      </w:r>
      <w:r>
        <w:rPr>
          <w:rFonts w:hint="eastAsia" w:ascii="Times New Roman" w:hAnsi="Times New Roman" w:eastAsia="仿宋_GB2312" w:cs="Times New Roman"/>
          <w:bCs/>
          <w:kern w:val="0"/>
          <w:sz w:val="32"/>
        </w:rPr>
        <w:t>率</w:t>
      </w:r>
      <w:r>
        <w:rPr>
          <w:rFonts w:ascii="Times New Roman" w:hAnsi="Times New Roman" w:eastAsia="仿宋_GB2312" w:cs="Times New Roman"/>
          <w:bCs/>
          <w:kern w:val="0"/>
          <w:sz w:val="32"/>
        </w:rPr>
        <w:t>不超过20%。</w:t>
      </w:r>
      <w:r>
        <w:rPr>
          <w:rFonts w:hint="eastAsia" w:ascii="Times New Roman" w:hAnsi="Times New Roman" w:eastAsia="仿宋_GB2312" w:cs="Times New Roman"/>
          <w:bCs/>
          <w:kern w:val="0"/>
          <w:sz w:val="32"/>
        </w:rPr>
        <w:t>由</w:t>
      </w:r>
      <w:r>
        <w:rPr>
          <w:rFonts w:ascii="Times New Roman" w:hAnsi="Times New Roman" w:eastAsia="仿宋_GB2312" w:cs="Times New Roman"/>
          <w:bCs/>
          <w:kern w:val="0"/>
          <w:sz w:val="32"/>
        </w:rPr>
        <w:t>案例提供者</w:t>
      </w:r>
      <w:r>
        <w:rPr>
          <w:rFonts w:hint="eastAsia" w:ascii="Times New Roman" w:hAnsi="Times New Roman" w:eastAsia="仿宋_GB2312" w:cs="Times New Roman"/>
          <w:bCs/>
          <w:kern w:val="0"/>
          <w:sz w:val="32"/>
        </w:rPr>
        <w:t>自行完成</w:t>
      </w:r>
      <w:r>
        <w:rPr>
          <w:rFonts w:ascii="Times New Roman" w:hAnsi="Times New Roman" w:eastAsia="仿宋_GB2312" w:cs="Times New Roman"/>
          <w:bCs/>
          <w:kern w:val="0"/>
          <w:sz w:val="32"/>
        </w:rPr>
        <w:t>。</w:t>
      </w:r>
    </w:p>
    <w:p w14:paraId="50A3A9DB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D56112"/>
    <w:rsid w:val="1FD56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2025-06-12T09:23:00Z</dcterms:created>
  <dc:creator>David熊</dc:creator>
  <cp:lastModifiedBy>David熊</cp:lastModifiedBy>
  <dcterms:modified xsi:type="dcterms:W3CDTF">2025-06-12T09:23:59Z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C0A45F364B0F4187B09BB872A9B06A08_11</vt:lpwstr>
  </property>
  <property fmtid="{D5CDD505-2E9C-101B-9397-08002B2CF9AE}" pid="4" name="KSOTemplateDocerSaveRecord">
    <vt:lpwstr>eyJoZGlkIjoiNWI0MjM1NzNlYjc0ZmEwNDI5MzkwNTZiOThmYzE1ZGQiLCJ1c2VySWQiOiIxMTQxNjU5MDA4In0=</vt:lpwstr>
  </property>
</Properties>
</file>