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40" w:lineRule="exact"/>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仿宋" w:hAnsi="仿宋" w:eastAsia="仿宋" w:cs="仿宋"/>
          <w:b/>
          <w:bCs/>
          <w:sz w:val="44"/>
          <w:szCs w:val="44"/>
          <w:lang w:val="en-US" w:eastAsia="zh-CN"/>
        </w:rPr>
      </w:pPr>
      <w:r>
        <w:rPr>
          <w:rFonts w:hint="eastAsia" w:ascii="仿宋" w:hAnsi="仿宋" w:eastAsia="仿宋" w:cs="仿宋"/>
          <w:b/>
          <w:bCs/>
          <w:sz w:val="44"/>
          <w:szCs w:val="44"/>
          <w:lang w:val="en-US" w:eastAsia="zh-CN"/>
        </w:rPr>
        <w:t>吉林省钢结构企业优秀</w:t>
      </w:r>
      <w:r>
        <w:rPr>
          <w:rFonts w:hint="eastAsia" w:ascii="仿宋" w:hAnsi="仿宋" w:eastAsia="仿宋" w:cs="仿宋"/>
          <w:b/>
          <w:bCs/>
          <w:sz w:val="44"/>
          <w:szCs w:val="44"/>
        </w:rPr>
        <w:t>供应商</w:t>
      </w:r>
      <w:r>
        <w:rPr>
          <w:rFonts w:hint="eastAsia" w:ascii="仿宋" w:hAnsi="仿宋" w:eastAsia="仿宋" w:cs="仿宋"/>
          <w:b/>
          <w:bCs/>
          <w:sz w:val="44"/>
          <w:szCs w:val="44"/>
          <w:lang w:val="en-US" w:eastAsia="zh-CN"/>
        </w:rPr>
        <w:t>名录</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仿宋" w:hAnsi="仿宋" w:eastAsia="仿宋" w:cs="仿宋"/>
          <w:b/>
          <w:bCs/>
          <w:sz w:val="44"/>
          <w:szCs w:val="44"/>
        </w:rPr>
      </w:pPr>
      <w:r>
        <w:rPr>
          <w:rFonts w:hint="eastAsia" w:ascii="仿宋" w:hAnsi="仿宋" w:eastAsia="仿宋" w:cs="仿宋"/>
          <w:b/>
          <w:bCs/>
          <w:sz w:val="44"/>
          <w:szCs w:val="44"/>
        </w:rPr>
        <w:t>评审及管理办法</w:t>
      </w:r>
    </w:p>
    <w:p>
      <w:pPr>
        <w:keepNext w:val="0"/>
        <w:keepLines w:val="0"/>
        <w:pageBreakBefore w:val="0"/>
        <w:kinsoku/>
        <w:wordWrap/>
        <w:overflowPunct/>
        <w:topLinePunct w:val="0"/>
        <w:autoSpaceDE/>
        <w:autoSpaceDN/>
        <w:bidi w:val="0"/>
        <w:adjustRightInd/>
        <w:snapToGrid/>
        <w:spacing w:line="500" w:lineRule="exact"/>
        <w:jc w:val="center"/>
        <w:rPr>
          <w:rFonts w:hint="eastAsia" w:ascii="仿宋" w:hAnsi="仿宋" w:eastAsia="仿宋" w:cs="仿宋"/>
          <w:b/>
          <w:bCs/>
          <w:sz w:val="32"/>
          <w:szCs w:val="32"/>
          <w:lang w:val="en-US" w:eastAsia="zh-CN"/>
        </w:rPr>
      </w:pPr>
    </w:p>
    <w:p>
      <w:pPr>
        <w:keepNext w:val="0"/>
        <w:keepLines w:val="0"/>
        <w:pageBreakBefore w:val="0"/>
        <w:kinsoku/>
        <w:wordWrap/>
        <w:overflowPunct/>
        <w:topLinePunct w:val="0"/>
        <w:autoSpaceDE/>
        <w:autoSpaceDN/>
        <w:bidi w:val="0"/>
        <w:adjustRightInd/>
        <w:snapToGrid/>
        <w:spacing w:line="600" w:lineRule="exact"/>
        <w:jc w:val="center"/>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第一章  总则</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为加强</w:t>
      </w:r>
      <w:r>
        <w:rPr>
          <w:rFonts w:hint="eastAsia" w:ascii="仿宋" w:hAnsi="仿宋" w:eastAsia="仿宋" w:cs="仿宋"/>
          <w:sz w:val="32"/>
          <w:szCs w:val="32"/>
          <w:lang w:val="en-US" w:eastAsia="zh-CN"/>
        </w:rPr>
        <w:t>和规范吉林省钢结构行业</w:t>
      </w:r>
      <w:r>
        <w:rPr>
          <w:rFonts w:hint="eastAsia" w:ascii="仿宋" w:hAnsi="仿宋" w:eastAsia="仿宋" w:cs="仿宋"/>
          <w:sz w:val="32"/>
          <w:szCs w:val="32"/>
        </w:rPr>
        <w:t>供应商管理，</w:t>
      </w:r>
      <w:r>
        <w:rPr>
          <w:rFonts w:hint="eastAsia" w:ascii="仿宋" w:hAnsi="仿宋" w:eastAsia="仿宋" w:cs="仿宋"/>
          <w:sz w:val="32"/>
          <w:szCs w:val="32"/>
          <w:lang w:val="en-US" w:eastAsia="zh-CN"/>
        </w:rPr>
        <w:t>加强行业自律，激励和引导企业自觉树立“诚信经营”理念和行为，推进企业管理制度建设，形成企业争创诚信典范的良好氛围，助力企业持续健康发展</w:t>
      </w:r>
      <w:r>
        <w:rPr>
          <w:rFonts w:hint="eastAsia" w:ascii="仿宋" w:hAnsi="仿宋" w:eastAsia="仿宋" w:cs="仿宋"/>
          <w:sz w:val="32"/>
          <w:szCs w:val="32"/>
        </w:rPr>
        <w:t>制定本</w:t>
      </w:r>
      <w:r>
        <w:rPr>
          <w:rFonts w:hint="eastAsia" w:ascii="仿宋" w:hAnsi="仿宋" w:eastAsia="仿宋" w:cs="仿宋"/>
          <w:sz w:val="32"/>
          <w:szCs w:val="32"/>
          <w:lang w:val="en-US" w:eastAsia="zh-CN"/>
        </w:rPr>
        <w:t>管理</w:t>
      </w:r>
      <w:r>
        <w:rPr>
          <w:rFonts w:hint="eastAsia" w:ascii="仿宋" w:hAnsi="仿宋" w:eastAsia="仿宋" w:cs="仿宋"/>
          <w:sz w:val="32"/>
          <w:szCs w:val="32"/>
        </w:rPr>
        <w:t>办法</w:t>
      </w:r>
      <w:r>
        <w:rPr>
          <w:rFonts w:hint="eastAsia" w:ascii="仿宋" w:hAnsi="仿宋" w:eastAsia="仿宋" w:cs="仿宋"/>
          <w:sz w:val="32"/>
          <w:szCs w:val="32"/>
          <w:lang w:eastAsia="zh-CN"/>
        </w:rPr>
        <w:t>。</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sz w:val="32"/>
          <w:szCs w:val="32"/>
          <w:lang w:val="en-US"/>
        </w:rPr>
      </w:pPr>
      <w:r>
        <w:rPr>
          <w:rFonts w:hint="eastAsia" w:ascii="仿宋" w:hAnsi="仿宋" w:eastAsia="仿宋" w:cs="仿宋"/>
          <w:sz w:val="32"/>
          <w:szCs w:val="32"/>
          <w:lang w:val="en-US" w:eastAsia="zh-CN"/>
        </w:rPr>
        <w:t>本着“自愿、客观、公正、公开”原则，对供应商进行综合评审，并向社会公示评审结果。</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sz w:val="32"/>
          <w:szCs w:val="32"/>
          <w:lang w:val="en-US"/>
        </w:rPr>
      </w:pPr>
      <w:r>
        <w:rPr>
          <w:rFonts w:hint="eastAsia" w:ascii="仿宋" w:hAnsi="仿宋" w:eastAsia="仿宋" w:cs="仿宋"/>
          <w:sz w:val="32"/>
          <w:szCs w:val="32"/>
          <w:lang w:val="en-US" w:eastAsia="zh-CN"/>
        </w:rPr>
        <w:t>优秀供应商名录评审由企业自愿申报，采取社会各界共同参与和广泛监督的方式进行，逐步积累经验，形成可持续的长效机制。</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firstLine="640" w:firstLineChars="200"/>
        <w:textAlignment w:val="auto"/>
        <w:rPr>
          <w:rFonts w:hint="default" w:ascii="仿宋" w:hAnsi="仿宋" w:eastAsia="仿宋" w:cs="仿宋"/>
          <w:sz w:val="32"/>
          <w:szCs w:val="32"/>
          <w:lang w:val="en-US"/>
        </w:rPr>
      </w:pPr>
      <w:r>
        <w:rPr>
          <w:rFonts w:hint="eastAsia" w:ascii="仿宋" w:hAnsi="仿宋" w:eastAsia="仿宋" w:cs="仿宋"/>
          <w:sz w:val="32"/>
          <w:szCs w:val="32"/>
          <w:lang w:val="en-US" w:eastAsia="zh-CN"/>
        </w:rPr>
        <w:t>吉林省建筑业协会钢结构专业委员会（以下称省建协钢结构专委会）对供应商进行评审及监督管理，适用于本办法。</w:t>
      </w:r>
    </w:p>
    <w:p>
      <w:pPr>
        <w:keepNext w:val="0"/>
        <w:keepLines w:val="0"/>
        <w:pageBreakBefore w:val="0"/>
        <w:widowControl w:val="0"/>
        <w:numPr>
          <w:numId w:val="0"/>
        </w:numPr>
        <w:kinsoku/>
        <w:wordWrap/>
        <w:overflowPunct/>
        <w:topLinePunct w:val="0"/>
        <w:autoSpaceDE/>
        <w:autoSpaceDN/>
        <w:bidi w:val="0"/>
        <w:adjustRightInd/>
        <w:snapToGrid/>
        <w:spacing w:line="600" w:lineRule="exact"/>
        <w:textAlignment w:val="auto"/>
        <w:rPr>
          <w:rFonts w:hint="default" w:ascii="仿宋" w:hAnsi="仿宋" w:eastAsia="仿宋" w:cs="仿宋"/>
          <w:sz w:val="32"/>
          <w:szCs w:val="32"/>
          <w:lang w:val="en-US"/>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 xml:space="preserve"> 组织和原则</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省建协钢结构专委会负责优秀供应商名录评审的组织和管理，具体工作由省建协钢结构专委会独立实施。</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优秀供应商名录评审组在省建协钢结构专家委员会专家中选取，其中企业专家占半数以上。评审组负责初评、上报，以及相应的监督、核查等工作。</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专家评审组的主要职责：在规定的评定权限内，核查参评企业的信息，并对其供应商评选指标赋分，确定参评企业的供应商等级。</w:t>
      </w:r>
    </w:p>
    <w:p>
      <w:pPr>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评审组成员不得参与本企业的评审工作，如与被评审企业有利害关系，应主动回避。</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第八条 优秀供应商名录评审工作遵循的主要原则：</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行业发展导向与现实相结合；</w:t>
      </w:r>
      <w:bookmarkStart w:id="0" w:name="_GoBack"/>
      <w:bookmarkEnd w:id="0"/>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独立、客观、公正、科学、审慎；</w:t>
      </w:r>
    </w:p>
    <w:p>
      <w:pPr>
        <w:keepNext w:val="0"/>
        <w:keepLines w:val="0"/>
        <w:pageBreakBefore w:val="0"/>
        <w:widowControl w:val="0"/>
        <w:numPr>
          <w:ilvl w:val="0"/>
          <w:numId w:val="3"/>
        </w:numPr>
        <w:kinsoku/>
        <w:wordWrap/>
        <w:overflowPunct/>
        <w:topLinePunct w:val="0"/>
        <w:autoSpaceDE/>
        <w:autoSpaceDN/>
        <w:bidi w:val="0"/>
        <w:adjustRightInd/>
        <w:snapToGrid/>
        <w:spacing w:line="600" w:lineRule="exact"/>
        <w:ind w:left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协会引导、行业自律。</w:t>
      </w:r>
    </w:p>
    <w:p>
      <w:pPr>
        <w:keepNext w:val="0"/>
        <w:keepLines w:val="0"/>
        <w:pageBreakBefore w:val="0"/>
        <w:widowControl w:val="0"/>
        <w:numPr>
          <w:numId w:val="0"/>
        </w:numPr>
        <w:kinsoku/>
        <w:wordWrap/>
        <w:overflowPunct/>
        <w:topLinePunct w:val="0"/>
        <w:autoSpaceDE/>
        <w:autoSpaceDN/>
        <w:bidi w:val="0"/>
        <w:adjustRightInd/>
        <w:snapToGrid/>
        <w:spacing w:line="600" w:lineRule="exact"/>
        <w:jc w:val="both"/>
        <w:textAlignment w:val="auto"/>
        <w:rPr>
          <w:rFonts w:hint="default" w:ascii="仿宋" w:hAnsi="仿宋" w:eastAsia="仿宋" w:cs="仿宋"/>
          <w:b w:val="0"/>
          <w:bCs w:val="0"/>
          <w:sz w:val="32"/>
          <w:szCs w:val="32"/>
          <w:lang w:val="en-US" w:eastAsia="zh-CN"/>
        </w:rPr>
      </w:pPr>
    </w:p>
    <w:p>
      <w:pPr>
        <w:keepNext w:val="0"/>
        <w:keepLines w:val="0"/>
        <w:pageBreakBefore w:val="0"/>
        <w:widowControl w:val="0"/>
        <w:numPr>
          <w:ilvl w:val="0"/>
          <w:numId w:val="2"/>
        </w:numPr>
        <w:kinsoku/>
        <w:wordWrap/>
        <w:overflowPunct/>
        <w:topLinePunct w:val="0"/>
        <w:autoSpaceDE/>
        <w:autoSpaceDN/>
        <w:bidi w:val="0"/>
        <w:adjustRightInd/>
        <w:snapToGrid/>
        <w:spacing w:line="60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指标级别</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第九条 优秀供应商名录评审工作采用宏观与微观、动态与静态、定量与定性相结合的科学分析方法，设定信用评价指标体系，按照供应商名录评审原则评定供应商等级。</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第十条</w:t>
      </w: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优秀供应商名录评审主要从企业综合素质、企业管理水平、企业诚信表现和企业社会责任四个方面，对企业的状况进行综合评价审核。评审指标体系包括4个</w:t>
      </w:r>
      <w:r>
        <w:rPr>
          <w:rFonts w:hint="eastAsia" w:ascii="仿宋" w:hAnsi="仿宋" w:eastAsia="仿宋" w:cs="仿宋"/>
          <w:color w:val="auto"/>
          <w:sz w:val="32"/>
          <w:szCs w:val="32"/>
          <w:lang w:val="en-US" w:eastAsia="zh-CN"/>
        </w:rPr>
        <w:t>一级指标，11个二级指标和13个</w:t>
      </w:r>
      <w:r>
        <w:rPr>
          <w:rFonts w:hint="eastAsia" w:ascii="仿宋" w:hAnsi="仿宋" w:eastAsia="仿宋" w:cs="仿宋"/>
          <w:sz w:val="32"/>
          <w:szCs w:val="32"/>
          <w:lang w:val="en-US" w:eastAsia="zh-CN"/>
        </w:rPr>
        <w:t>三级指标。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（一）企业综合素质：企业基础情况（资质等级、持续经营年限、企业规模）</w:t>
      </w:r>
      <w:r>
        <w:rPr>
          <w:rFonts w:hint="eastAsia" w:ascii="仿宋" w:hAnsi="仿宋" w:eastAsia="仿宋" w:cs="仿宋"/>
          <w:b w:val="0"/>
          <w:bCs w:val="0"/>
          <w:sz w:val="32"/>
          <w:szCs w:val="32"/>
          <w:lang w:val="en-US" w:eastAsia="zh-CN"/>
        </w:rPr>
        <w:t>；</w:t>
      </w:r>
      <w:r>
        <w:rPr>
          <w:rFonts w:hint="eastAsia" w:ascii="仿宋" w:hAnsi="仿宋" w:eastAsia="仿宋" w:cs="仿宋"/>
          <w:sz w:val="32"/>
          <w:szCs w:val="32"/>
          <w:lang w:val="en-US" w:eastAsia="zh-CN"/>
        </w:rPr>
        <w:t>企业管理（企业规章制度与企业文化）；</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企业管理水平：人力资源管理（管理层技术职称构成、管理层本行业从业年限及人员业绩）、质量管理（产品抽样结果、在建工程检测资料、是否有质量纠纷或投诉、质量管理制度是否健全）、合同履约率。</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（三）</w:t>
      </w:r>
      <w:r>
        <w:rPr>
          <w:rFonts w:hint="default" w:ascii="仿宋" w:hAnsi="仿宋" w:eastAsia="仿宋" w:cs="仿宋"/>
          <w:sz w:val="32"/>
          <w:szCs w:val="32"/>
          <w:lang w:val="en-US" w:eastAsia="zh-CN"/>
        </w:rPr>
        <w:t>企业诚信表现</w:t>
      </w:r>
      <w:r>
        <w:rPr>
          <w:rFonts w:hint="eastAsia" w:ascii="仿宋" w:hAnsi="仿宋" w:eastAsia="仿宋" w:cs="仿宋"/>
          <w:sz w:val="32"/>
          <w:szCs w:val="32"/>
          <w:lang w:val="en-US" w:eastAsia="zh-CN"/>
        </w:rPr>
        <w:t>（社会信用记录、金融信用记录、申报材料真实情况）。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（四）</w:t>
      </w:r>
      <w:r>
        <w:rPr>
          <w:rFonts w:hint="default" w:ascii="仿宋" w:hAnsi="仿宋" w:eastAsia="仿宋" w:cs="仿宋"/>
          <w:sz w:val="32"/>
          <w:szCs w:val="32"/>
          <w:lang w:val="en-US" w:eastAsia="zh-CN"/>
        </w:rPr>
        <w:t>企业社会责任</w:t>
      </w:r>
      <w:r>
        <w:rPr>
          <w:rFonts w:hint="eastAsia" w:ascii="仿宋" w:hAnsi="仿宋" w:eastAsia="仿宋" w:cs="仿宋"/>
          <w:sz w:val="32"/>
          <w:szCs w:val="32"/>
          <w:lang w:val="en-US" w:eastAsia="zh-CN"/>
        </w:rPr>
        <w:t>（参加社会公益活动、积极参与协会活动等）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第十一条 优秀供应商名录评选等级暂确定为“三级”：AAA、AA、A级。每个等级均对应相应的信用状况。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 w:hAnsi="仿宋" w:eastAsia="仿宋" w:cs="仿宋"/>
          <w:b w:val="0"/>
          <w:bCs w:val="0"/>
          <w:color w:val="auto"/>
          <w:sz w:val="32"/>
          <w:szCs w:val="32"/>
          <w:lang w:val="en-US" w:eastAsia="zh-CN"/>
        </w:rPr>
      </w:pPr>
      <w:r>
        <w:rPr>
          <w:rFonts w:hint="eastAsia" w:ascii="仿宋" w:hAnsi="仿宋" w:eastAsia="仿宋" w:cs="仿宋"/>
          <w:sz w:val="32"/>
          <w:szCs w:val="32"/>
          <w:lang w:val="en-US" w:eastAsia="zh-CN"/>
        </w:rPr>
        <w:t>第十二条 （等级确定原则）优秀供应商名录实行评分制，评审结果采用定量与定性相结合的原则，各等级名额实行动态控制。</w:t>
      </w:r>
      <w:r>
        <w:rPr>
          <w:rFonts w:hint="eastAsia" w:ascii="仿宋" w:hAnsi="仿宋" w:eastAsia="仿宋" w:cs="仿宋"/>
          <w:b w:val="0"/>
          <w:bCs w:val="0"/>
          <w:color w:val="auto"/>
          <w:sz w:val="32"/>
          <w:szCs w:val="32"/>
          <w:lang w:val="en-US" w:eastAsia="zh-CN"/>
        </w:rPr>
        <w:t>有效期内企业如有违规违法及不诚信等行为，经核实后立即取消其评定资格。</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3213" w:firstLineChars="1000"/>
        <w:jc w:val="both"/>
        <w:textAlignment w:val="auto"/>
        <w:rPr>
          <w:rFonts w:hint="eastAsia" w:ascii="仿宋" w:hAnsi="仿宋" w:eastAsia="仿宋" w:cs="仿宋"/>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3213" w:firstLineChars="10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第四章 评审程序</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第十三条 优秀供应商名录评审申报的基本条件：</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0" w:firstLineChars="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（一) 在市场监督管理部门依法注册登记。</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（二）企业经营状况稳定，每年度均有主营业务收入。</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（三）企业近三年无违法违规和失信行为记录。</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第十四条 企业评审工作流程：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（一）提出申请、提交材料。符合申报基本条件的企业，直接按照资料清单向省建协钢结构专委会秘书处提交书面参评资料。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资料初审。秘书处对参评企业申报资料进行初审。若申报资料不完整或认为有异议的，可要求参评企业补全资料或提交补充证明。秘书处对申请参评企业的相关信息进行调查核实，对不符合申报基本条件的企业，取消参评资格。</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（三）现场调查。评审小组对参评企业进行实地</w:t>
      </w:r>
      <w:r>
        <w:rPr>
          <w:rFonts w:hint="eastAsia" w:ascii="仿宋" w:hAnsi="仿宋" w:eastAsia="仿宋" w:cs="仿宋"/>
          <w:b w:val="0"/>
          <w:bCs w:val="0"/>
          <w:sz w:val="32"/>
          <w:szCs w:val="32"/>
          <w:lang w:val="en-US" w:eastAsia="zh-CN"/>
        </w:rPr>
        <w:t>调查，对参评企业信息资料作现场核验。现场审查项请见附录《</w:t>
      </w:r>
      <w:r>
        <w:rPr>
          <w:rFonts w:hint="eastAsia" w:ascii="仿宋" w:hAnsi="仿宋" w:eastAsia="仿宋" w:cs="仿宋"/>
          <w:b w:val="0"/>
          <w:bCs w:val="0"/>
          <w:sz w:val="30"/>
          <w:szCs w:val="30"/>
          <w:lang w:val="en-US" w:eastAsia="zh-CN"/>
        </w:rPr>
        <w:t>吉林省钢结构企业优秀</w:t>
      </w:r>
      <w:r>
        <w:rPr>
          <w:rFonts w:hint="eastAsia" w:ascii="仿宋" w:hAnsi="仿宋" w:eastAsia="仿宋" w:cs="仿宋"/>
          <w:b w:val="0"/>
          <w:bCs w:val="0"/>
          <w:sz w:val="30"/>
          <w:szCs w:val="30"/>
        </w:rPr>
        <w:t>供应商</w:t>
      </w:r>
      <w:r>
        <w:rPr>
          <w:rFonts w:hint="eastAsia" w:ascii="仿宋" w:hAnsi="仿宋" w:eastAsia="仿宋" w:cs="仿宋"/>
          <w:b w:val="0"/>
          <w:bCs w:val="0"/>
          <w:sz w:val="30"/>
          <w:szCs w:val="30"/>
          <w:lang w:val="en-US" w:eastAsia="zh-CN"/>
        </w:rPr>
        <w:t>名录评审标准</w:t>
      </w:r>
      <w:r>
        <w:rPr>
          <w:rFonts w:hint="eastAsia" w:ascii="仿宋" w:hAnsi="仿宋" w:eastAsia="仿宋" w:cs="仿宋"/>
          <w:b w:val="0"/>
          <w:bCs w:val="0"/>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（四）终评。评审小组在汇齐初评、现场审查结果基础上，15个工作日内，按照本办法进行最终评审，确定评审最终分值、信用等级和评价结果。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公示。省建协钢结构专委会将评审结果在协会网站、微信公众号及协会报纸进行公示，接受社会监督。对评审结果有异议的，向省建协钢结构专委会书面提出异议，单位法人签字，加盖公章，说明理由，并提供书面证明材料。评审小组应对提出的异议进行复核，并在10个工作日内将复核结果告知异议提出人。</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（六）结果发布。对于在公示期内未收到社会公众异议的参评企业，由省建协钢结构专委会发布其最终的等级评审结果。</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 w:hAnsi="仿宋" w:eastAsia="仿宋" w:cs="仿宋"/>
          <w:b w:val="0"/>
          <w:b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第五章 结果应用</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val="0"/>
          <w:color w:val="000000" w:themeColor="text1"/>
          <w:sz w:val="32"/>
          <w:szCs w:val="32"/>
          <w:lang w:val="en-US" w:eastAsia="zh-CN"/>
          <w14:textFill>
            <w14:solidFill>
              <w14:schemeClr w14:val="tx1"/>
            </w14:solidFill>
          </w14:textFill>
        </w:rPr>
        <w:t>第十五条 省建协钢结构专委会秘书处对供应商名录评选结果组织开展推广应用工作，评价结果通过省建协网站、微信公众号及协会报纸向社会宣传推介。</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color w:val="000000" w:themeColor="text1"/>
          <w:sz w:val="32"/>
          <w:szCs w:val="32"/>
          <w:lang w:val="en-US" w:eastAsia="zh-CN"/>
          <w14:textFill>
            <w14:solidFill>
              <w14:schemeClr w14:val="tx1"/>
            </w14:solidFill>
          </w14:textFill>
        </w:rPr>
      </w:pPr>
      <w:r>
        <w:rPr>
          <w:rFonts w:hint="eastAsia" w:ascii="仿宋" w:hAnsi="仿宋" w:eastAsia="仿宋" w:cs="仿宋"/>
          <w:b w:val="0"/>
          <w:bCs/>
          <w:sz w:val="32"/>
          <w:szCs w:val="32"/>
          <w:lang w:val="en-US" w:eastAsia="zh-CN"/>
        </w:rPr>
        <w:t>入选“优秀供应商名录”的钢结构企业，优先入选《央企与吉林省地方企业合作——优秀建筑企业名录》，并参与双方战略合作签约；具备条件的企业可参与吉林省建设工程“省优质工程奖”、吉林省优秀施工企业、吉林省工程建设优秀项目经理等奖项评选。</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 w:hAnsi="仿宋" w:eastAsia="仿宋" w:cs="仿宋"/>
          <w:b w:val="0"/>
          <w:bCs w:val="0"/>
          <w:sz w:val="32"/>
          <w:szCs w:val="32"/>
          <w:lang w:val="en-US" w:eastAsia="zh-CN"/>
        </w:rPr>
      </w:pPr>
    </w:p>
    <w:p>
      <w:pPr>
        <w:keepNext w:val="0"/>
        <w:keepLines w:val="0"/>
        <w:pageBreakBefore w:val="0"/>
        <w:widowControl w:val="0"/>
        <w:numPr>
          <w:ilvl w:val="0"/>
          <w:numId w:val="4"/>
        </w:numPr>
        <w:kinsoku/>
        <w:wordWrap/>
        <w:overflowPunct/>
        <w:topLinePunct w:val="0"/>
        <w:autoSpaceDE/>
        <w:autoSpaceDN/>
        <w:bidi w:val="0"/>
        <w:adjustRightInd/>
        <w:snapToGrid/>
        <w:spacing w:line="600" w:lineRule="exact"/>
        <w:ind w:leftChars="0" w:firstLine="3534" w:firstLineChars="11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监督管理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第十六条 省建协钢结构专委会向评审结果A级(含)以上的企业颁发评价等级证书，并纳入钢结构专委会日常管理。</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第十七条 评审结果两年有效。省建协钢结构专委会组织年审和复评工作，做出维持、降低或提高企业评审级别的决定，并为企业更换新一年度有效的评审等级证书。</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第十八条 评审等级证书期满前，应重新申请评审。</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第十九条 在评审等级证书有效期内，企业分立或其评审指标有重大变动的，原评价等级不再保留，需要进行审核或重新申请评审等级。</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第二十条 省建协钢结构专委会在组织与实施企业评审工作中，要自觉遵守国家有关法律法规，恪守公正、公开、公平原则，接受有关部门和社会公众的监督。</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0"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第二十一条 省建协钢结构专委会对取得评审等级证书的企业进行日常监督，及时征集企业相关信息，动态掌握企业变化情况。对于出现异常情况的企业，省建协钢结构专委会有权对该企业予以警告。</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jc w:val="both"/>
        <w:textAlignment w:val="auto"/>
        <w:rPr>
          <w:rFonts w:hint="eastAsia" w:ascii="仿宋" w:hAnsi="仿宋" w:eastAsia="仿宋" w:cs="仿宋"/>
          <w:b w:val="0"/>
          <w:bCs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Chars="200"/>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第七章 附则</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第二十二条  本办法由省建协钢结构专委会组织制定，经钢结构专委会理事会决议通过后执行。</w:t>
      </w:r>
    </w:p>
    <w:p>
      <w:pPr>
        <w:pStyle w:val="7"/>
        <w:keepNext w:val="0"/>
        <w:keepLines w:val="0"/>
        <w:pageBreakBefore w:val="0"/>
        <w:kinsoku/>
        <w:wordWrap/>
        <w:overflowPunct/>
        <w:topLinePunct w:val="0"/>
        <w:autoSpaceDE/>
        <w:autoSpaceDN/>
        <w:bidi w:val="0"/>
        <w:adjustRightInd/>
        <w:snapToGrid/>
        <w:spacing w:line="600" w:lineRule="exact"/>
        <w:jc w:val="left"/>
        <w:rPr>
          <w:rFonts w:hint="eastAsia" w:ascii="宋体" w:hAnsi="宋体"/>
          <w:b/>
          <w:sz w:val="18"/>
          <w:szCs w:val="18"/>
        </w:rPr>
      </w:pPr>
      <w:r>
        <w:rPr>
          <w:rFonts w:hint="eastAsia" w:ascii="仿宋" w:hAnsi="仿宋" w:eastAsia="仿宋" w:cs="仿宋"/>
          <w:sz w:val="32"/>
          <w:szCs w:val="32"/>
          <w:lang w:val="en-US" w:eastAsia="zh-CN"/>
        </w:rPr>
        <w:t xml:space="preserve">   第二十三条 本办法由省建协钢结构专委会负责修订并解释。自  2021年12月24日起实施。</w:t>
      </w:r>
    </w:p>
    <w:sectPr>
      <w:footerReference r:id="rId3" w:type="default"/>
      <w:pgSz w:w="11906" w:h="16838"/>
      <w:pgMar w:top="1440" w:right="850" w:bottom="1440" w:left="113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9A5830B"/>
    <w:multiLevelType w:val="singleLevel"/>
    <w:tmpl w:val="A9A5830B"/>
    <w:lvl w:ilvl="0" w:tentative="0">
      <w:start w:val="1"/>
      <w:numFmt w:val="chineseCounting"/>
      <w:suff w:val="nothing"/>
      <w:lvlText w:val="（%1）"/>
      <w:lvlJc w:val="left"/>
      <w:rPr>
        <w:rFonts w:hint="eastAsia"/>
      </w:rPr>
    </w:lvl>
  </w:abstractNum>
  <w:abstractNum w:abstractNumId="1">
    <w:nsid w:val="0E600334"/>
    <w:multiLevelType w:val="singleLevel"/>
    <w:tmpl w:val="0E600334"/>
    <w:lvl w:ilvl="0" w:tentative="0">
      <w:start w:val="1"/>
      <w:numFmt w:val="chineseCounting"/>
      <w:suff w:val="space"/>
      <w:lvlText w:val="第%1条"/>
      <w:lvlJc w:val="left"/>
      <w:rPr>
        <w:rFonts w:hint="eastAsia"/>
      </w:rPr>
    </w:lvl>
  </w:abstractNum>
  <w:abstractNum w:abstractNumId="2">
    <w:nsid w:val="4BD86972"/>
    <w:multiLevelType w:val="singleLevel"/>
    <w:tmpl w:val="4BD86972"/>
    <w:lvl w:ilvl="0" w:tentative="0">
      <w:start w:val="6"/>
      <w:numFmt w:val="chineseCounting"/>
      <w:suff w:val="space"/>
      <w:lvlText w:val="第%1章"/>
      <w:lvlJc w:val="left"/>
      <w:rPr>
        <w:rFonts w:hint="eastAsia"/>
      </w:rPr>
    </w:lvl>
  </w:abstractNum>
  <w:abstractNum w:abstractNumId="3">
    <w:nsid w:val="7E835AF9"/>
    <w:multiLevelType w:val="singleLevel"/>
    <w:tmpl w:val="7E835AF9"/>
    <w:lvl w:ilvl="0" w:tentative="0">
      <w:start w:val="2"/>
      <w:numFmt w:val="chineseCounting"/>
      <w:suff w:val="space"/>
      <w:lvlText w:val="第%1章"/>
      <w:lvlJc w:val="left"/>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0"/>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E10AEA"/>
    <w:rsid w:val="00010BCB"/>
    <w:rsid w:val="006A543A"/>
    <w:rsid w:val="00975237"/>
    <w:rsid w:val="00C67160"/>
    <w:rsid w:val="00C82369"/>
    <w:rsid w:val="00E2792F"/>
    <w:rsid w:val="01AE098E"/>
    <w:rsid w:val="01F432EE"/>
    <w:rsid w:val="02DA6483"/>
    <w:rsid w:val="02E64D83"/>
    <w:rsid w:val="05CD5D86"/>
    <w:rsid w:val="06390E25"/>
    <w:rsid w:val="06B77272"/>
    <w:rsid w:val="07133C6D"/>
    <w:rsid w:val="072A541F"/>
    <w:rsid w:val="072F4F4B"/>
    <w:rsid w:val="079F6E31"/>
    <w:rsid w:val="07F95736"/>
    <w:rsid w:val="081E6D6D"/>
    <w:rsid w:val="09E2479B"/>
    <w:rsid w:val="0A583492"/>
    <w:rsid w:val="0A8A06EA"/>
    <w:rsid w:val="0C496EE4"/>
    <w:rsid w:val="0D0516CA"/>
    <w:rsid w:val="0D1B2383"/>
    <w:rsid w:val="0D357BA5"/>
    <w:rsid w:val="0DCD1019"/>
    <w:rsid w:val="0DF50570"/>
    <w:rsid w:val="0EE10AEA"/>
    <w:rsid w:val="0F5B4403"/>
    <w:rsid w:val="0FE277A8"/>
    <w:rsid w:val="10666478"/>
    <w:rsid w:val="10C53AD6"/>
    <w:rsid w:val="110B1333"/>
    <w:rsid w:val="11FD3116"/>
    <w:rsid w:val="123C6E16"/>
    <w:rsid w:val="12E04A00"/>
    <w:rsid w:val="12F510B3"/>
    <w:rsid w:val="142179C9"/>
    <w:rsid w:val="15414C6B"/>
    <w:rsid w:val="16747D32"/>
    <w:rsid w:val="16F75418"/>
    <w:rsid w:val="17167B09"/>
    <w:rsid w:val="18196FAB"/>
    <w:rsid w:val="18D203A4"/>
    <w:rsid w:val="18F70F55"/>
    <w:rsid w:val="19B67185"/>
    <w:rsid w:val="1A6C1A90"/>
    <w:rsid w:val="1A99675F"/>
    <w:rsid w:val="1B3455F8"/>
    <w:rsid w:val="1B771ED5"/>
    <w:rsid w:val="1C464156"/>
    <w:rsid w:val="1C817B0E"/>
    <w:rsid w:val="1C9D3F96"/>
    <w:rsid w:val="1D740D86"/>
    <w:rsid w:val="1DF57B78"/>
    <w:rsid w:val="1E3A36C1"/>
    <w:rsid w:val="1E9A17F0"/>
    <w:rsid w:val="1FFD3E3B"/>
    <w:rsid w:val="200F5728"/>
    <w:rsid w:val="2020608C"/>
    <w:rsid w:val="213C1397"/>
    <w:rsid w:val="220338A9"/>
    <w:rsid w:val="222F3BF9"/>
    <w:rsid w:val="22837AA1"/>
    <w:rsid w:val="2297109E"/>
    <w:rsid w:val="22E1784D"/>
    <w:rsid w:val="230C5FB3"/>
    <w:rsid w:val="24E41622"/>
    <w:rsid w:val="25A22934"/>
    <w:rsid w:val="25CA27A6"/>
    <w:rsid w:val="262C38E5"/>
    <w:rsid w:val="26892F59"/>
    <w:rsid w:val="27441D99"/>
    <w:rsid w:val="27F75904"/>
    <w:rsid w:val="28156585"/>
    <w:rsid w:val="283D706C"/>
    <w:rsid w:val="28813EBC"/>
    <w:rsid w:val="28C754A1"/>
    <w:rsid w:val="29085838"/>
    <w:rsid w:val="29AE7A60"/>
    <w:rsid w:val="2A941431"/>
    <w:rsid w:val="2BAB033E"/>
    <w:rsid w:val="2BAC6CC6"/>
    <w:rsid w:val="2BD72EB5"/>
    <w:rsid w:val="2C7938A5"/>
    <w:rsid w:val="2C84746E"/>
    <w:rsid w:val="2C88540E"/>
    <w:rsid w:val="2CBC47C0"/>
    <w:rsid w:val="2CF26A8E"/>
    <w:rsid w:val="2D225AC9"/>
    <w:rsid w:val="2D872917"/>
    <w:rsid w:val="2DA33E6A"/>
    <w:rsid w:val="2DA95D5C"/>
    <w:rsid w:val="2DB646CC"/>
    <w:rsid w:val="2DD00C67"/>
    <w:rsid w:val="2E410B9A"/>
    <w:rsid w:val="2E9278AD"/>
    <w:rsid w:val="2FCE3FAE"/>
    <w:rsid w:val="30193EDA"/>
    <w:rsid w:val="30310479"/>
    <w:rsid w:val="303A69A9"/>
    <w:rsid w:val="30403C68"/>
    <w:rsid w:val="304874B2"/>
    <w:rsid w:val="30FB34B7"/>
    <w:rsid w:val="313F372D"/>
    <w:rsid w:val="317B7EF1"/>
    <w:rsid w:val="31C36C0E"/>
    <w:rsid w:val="31EC690E"/>
    <w:rsid w:val="327420B1"/>
    <w:rsid w:val="32AB107A"/>
    <w:rsid w:val="32AC1F68"/>
    <w:rsid w:val="32B37F2E"/>
    <w:rsid w:val="33181F3B"/>
    <w:rsid w:val="33F05481"/>
    <w:rsid w:val="341A2E55"/>
    <w:rsid w:val="343E1AB1"/>
    <w:rsid w:val="35091E86"/>
    <w:rsid w:val="36374FD3"/>
    <w:rsid w:val="36792190"/>
    <w:rsid w:val="36A223B2"/>
    <w:rsid w:val="370372C9"/>
    <w:rsid w:val="3715077B"/>
    <w:rsid w:val="37C53C2A"/>
    <w:rsid w:val="382F1DF5"/>
    <w:rsid w:val="38546C90"/>
    <w:rsid w:val="385D1F13"/>
    <w:rsid w:val="38C120E6"/>
    <w:rsid w:val="38D37CD0"/>
    <w:rsid w:val="38EE7B32"/>
    <w:rsid w:val="38F66390"/>
    <w:rsid w:val="39D47C3F"/>
    <w:rsid w:val="39E665F6"/>
    <w:rsid w:val="3A404EB2"/>
    <w:rsid w:val="3A50514C"/>
    <w:rsid w:val="3AD034B4"/>
    <w:rsid w:val="3AF631BC"/>
    <w:rsid w:val="3B45680A"/>
    <w:rsid w:val="3C2679C3"/>
    <w:rsid w:val="3CB7149C"/>
    <w:rsid w:val="3D0F67CB"/>
    <w:rsid w:val="3D5B3308"/>
    <w:rsid w:val="3F216B54"/>
    <w:rsid w:val="3F8E7D59"/>
    <w:rsid w:val="3FBD063E"/>
    <w:rsid w:val="3FBD147E"/>
    <w:rsid w:val="40531103"/>
    <w:rsid w:val="41456266"/>
    <w:rsid w:val="41DB770E"/>
    <w:rsid w:val="42B775C7"/>
    <w:rsid w:val="431131C1"/>
    <w:rsid w:val="43533403"/>
    <w:rsid w:val="43EF676B"/>
    <w:rsid w:val="4566175C"/>
    <w:rsid w:val="45BE5E3B"/>
    <w:rsid w:val="45D036E5"/>
    <w:rsid w:val="46FC0537"/>
    <w:rsid w:val="49B72B80"/>
    <w:rsid w:val="49F61BAF"/>
    <w:rsid w:val="4A6E0D95"/>
    <w:rsid w:val="4AC52EC0"/>
    <w:rsid w:val="4AD97354"/>
    <w:rsid w:val="4B3723F4"/>
    <w:rsid w:val="4B623BF7"/>
    <w:rsid w:val="4BAA326A"/>
    <w:rsid w:val="4BCB419D"/>
    <w:rsid w:val="4BCC734B"/>
    <w:rsid w:val="4C4A14AC"/>
    <w:rsid w:val="4C4D68A6"/>
    <w:rsid w:val="4C604623"/>
    <w:rsid w:val="4CB03430"/>
    <w:rsid w:val="4D4D76E2"/>
    <w:rsid w:val="4D5253CB"/>
    <w:rsid w:val="4DA07AFE"/>
    <w:rsid w:val="4DE7707C"/>
    <w:rsid w:val="4E5F7C5E"/>
    <w:rsid w:val="4F58287F"/>
    <w:rsid w:val="501A2E22"/>
    <w:rsid w:val="50302048"/>
    <w:rsid w:val="50A5015E"/>
    <w:rsid w:val="50E209E0"/>
    <w:rsid w:val="50E73B3E"/>
    <w:rsid w:val="510B67FB"/>
    <w:rsid w:val="5133250E"/>
    <w:rsid w:val="51E57BBB"/>
    <w:rsid w:val="523A776E"/>
    <w:rsid w:val="53D26D5A"/>
    <w:rsid w:val="53E14EFC"/>
    <w:rsid w:val="54B200F2"/>
    <w:rsid w:val="54DD4778"/>
    <w:rsid w:val="55425AD4"/>
    <w:rsid w:val="557B26D6"/>
    <w:rsid w:val="56540ACB"/>
    <w:rsid w:val="56B20D85"/>
    <w:rsid w:val="57144707"/>
    <w:rsid w:val="577E039B"/>
    <w:rsid w:val="57E2356C"/>
    <w:rsid w:val="58AC3580"/>
    <w:rsid w:val="58F7430E"/>
    <w:rsid w:val="590769D1"/>
    <w:rsid w:val="597535E6"/>
    <w:rsid w:val="59B57F40"/>
    <w:rsid w:val="5A47605D"/>
    <w:rsid w:val="5B6910CE"/>
    <w:rsid w:val="5BA31451"/>
    <w:rsid w:val="5CBA6D43"/>
    <w:rsid w:val="5D2C4E05"/>
    <w:rsid w:val="5D6E1191"/>
    <w:rsid w:val="5E8A683C"/>
    <w:rsid w:val="5E8F68D6"/>
    <w:rsid w:val="5EB41127"/>
    <w:rsid w:val="5F0E4E67"/>
    <w:rsid w:val="5F5231BF"/>
    <w:rsid w:val="5F68155B"/>
    <w:rsid w:val="5F7D1703"/>
    <w:rsid w:val="5F891597"/>
    <w:rsid w:val="5FAC7A30"/>
    <w:rsid w:val="5FAF24D2"/>
    <w:rsid w:val="5FC2642D"/>
    <w:rsid w:val="5FEE0293"/>
    <w:rsid w:val="5FF217E7"/>
    <w:rsid w:val="60EF58B9"/>
    <w:rsid w:val="61A06B05"/>
    <w:rsid w:val="62A10355"/>
    <w:rsid w:val="63B27B20"/>
    <w:rsid w:val="63C7107C"/>
    <w:rsid w:val="63E76E14"/>
    <w:rsid w:val="641766C3"/>
    <w:rsid w:val="641A6722"/>
    <w:rsid w:val="647C661F"/>
    <w:rsid w:val="64F87B24"/>
    <w:rsid w:val="656E7B61"/>
    <w:rsid w:val="66407DA8"/>
    <w:rsid w:val="6650570B"/>
    <w:rsid w:val="66586CE3"/>
    <w:rsid w:val="666E5E37"/>
    <w:rsid w:val="66BB793E"/>
    <w:rsid w:val="66D71BAC"/>
    <w:rsid w:val="67585971"/>
    <w:rsid w:val="675D60DF"/>
    <w:rsid w:val="67E9766B"/>
    <w:rsid w:val="67EE1210"/>
    <w:rsid w:val="68DB7D7B"/>
    <w:rsid w:val="68FA0608"/>
    <w:rsid w:val="69976C39"/>
    <w:rsid w:val="69BF74BA"/>
    <w:rsid w:val="69D45057"/>
    <w:rsid w:val="6A0F6304"/>
    <w:rsid w:val="6A7B3803"/>
    <w:rsid w:val="6AA316CF"/>
    <w:rsid w:val="6AB00832"/>
    <w:rsid w:val="6AF746A1"/>
    <w:rsid w:val="6B532C8E"/>
    <w:rsid w:val="6B542647"/>
    <w:rsid w:val="6C0A0FE5"/>
    <w:rsid w:val="6C4A4CC6"/>
    <w:rsid w:val="6CB06D0D"/>
    <w:rsid w:val="6CD95802"/>
    <w:rsid w:val="6E02416E"/>
    <w:rsid w:val="6E185584"/>
    <w:rsid w:val="6F03569E"/>
    <w:rsid w:val="6F08742D"/>
    <w:rsid w:val="6F0A6C9E"/>
    <w:rsid w:val="6F323435"/>
    <w:rsid w:val="70082FFA"/>
    <w:rsid w:val="701C64F5"/>
    <w:rsid w:val="71105F71"/>
    <w:rsid w:val="711E7447"/>
    <w:rsid w:val="71775580"/>
    <w:rsid w:val="717957AB"/>
    <w:rsid w:val="719D6A1A"/>
    <w:rsid w:val="71B04A62"/>
    <w:rsid w:val="71DD096D"/>
    <w:rsid w:val="72327D99"/>
    <w:rsid w:val="72AE58D4"/>
    <w:rsid w:val="7309688C"/>
    <w:rsid w:val="73F34902"/>
    <w:rsid w:val="73F4751E"/>
    <w:rsid w:val="740F3BAA"/>
    <w:rsid w:val="74620891"/>
    <w:rsid w:val="74675EA7"/>
    <w:rsid w:val="747C170C"/>
    <w:rsid w:val="75AD14DE"/>
    <w:rsid w:val="77F8356B"/>
    <w:rsid w:val="78C9605E"/>
    <w:rsid w:val="78E549F6"/>
    <w:rsid w:val="79233C34"/>
    <w:rsid w:val="79694470"/>
    <w:rsid w:val="7A5A6842"/>
    <w:rsid w:val="7A603AC5"/>
    <w:rsid w:val="7AAA2BF7"/>
    <w:rsid w:val="7B067A73"/>
    <w:rsid w:val="7BC01172"/>
    <w:rsid w:val="7BC2665A"/>
    <w:rsid w:val="7C2D5376"/>
    <w:rsid w:val="7CF63E1A"/>
    <w:rsid w:val="7D496A92"/>
    <w:rsid w:val="7D895BCD"/>
    <w:rsid w:val="7D9E07C6"/>
    <w:rsid w:val="7DA26F3C"/>
    <w:rsid w:val="7DB82EDC"/>
    <w:rsid w:val="7DF864EE"/>
    <w:rsid w:val="7E367346"/>
    <w:rsid w:val="7E6F0FAB"/>
    <w:rsid w:val="7E963A82"/>
    <w:rsid w:val="7EBC14E6"/>
    <w:rsid w:val="7EBE0DBA"/>
    <w:rsid w:val="7ED054B6"/>
    <w:rsid w:val="7FA968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 w:type="paragraph" w:customStyle="1" w:styleId="7">
    <w:name w:val="xl38"/>
    <w:basedOn w:val="1"/>
    <w:qFormat/>
    <w:uiPriority w:val="0"/>
    <w:pPr>
      <w:widowControl/>
      <w:spacing w:before="100" w:beforeAutospacing="1" w:after="100" w:afterAutospacing="1"/>
      <w:jc w:val="center"/>
      <w:textAlignment w:val="center"/>
    </w:pPr>
    <w:rPr>
      <w:rFonts w:ascii="宋体" w:hAnsi="宋体"/>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615</Words>
  <Characters>3510</Characters>
  <Lines>29</Lines>
  <Paragraphs>8</Paragraphs>
  <TotalTime>29</TotalTime>
  <ScaleCrop>false</ScaleCrop>
  <LinksUpToDate>false</LinksUpToDate>
  <CharactersWithSpaces>4117</CharactersWithSpaces>
  <Application>WPS Office_11.1.0.11194_F1E327BC-269C-435d-A152-05C5408002CA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2020-03-04T05:33:00Z</dcterms:created>
  <dc:creator>Administrator</dc:creator>
  <cp:lastModifiedBy>博博</cp:lastModifiedBy>
  <cp:lastPrinted>2021-12-24T00:37:00Z</cp:lastPrinted>
  <dcterms:modified xsi:type="dcterms:W3CDTF">2021-12-24T01:17:57Z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36D474DBE38441CDABECCDC062EF88A2</vt:lpwstr>
  </property>
</Properties>
</file>